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8A85D" w14:textId="77777777" w:rsidR="0076228E" w:rsidRPr="008E7CD7" w:rsidRDefault="0076228E" w:rsidP="00673B0E">
      <w:pPr>
        <w:spacing w:after="0"/>
        <w:rPr>
          <w:rFonts w:ascii="Garamond" w:hAnsi="Garamond"/>
          <w:color w:val="1F4E79" w:themeColor="accent1" w:themeShade="80"/>
          <w:sz w:val="24"/>
          <w:szCs w:val="24"/>
        </w:rPr>
      </w:pPr>
    </w:p>
    <w:p w14:paraId="1612DDD5" w14:textId="658F3748" w:rsidR="00673B0E" w:rsidRDefault="00673B0E" w:rsidP="00673B0E">
      <w:pPr>
        <w:spacing w:after="0"/>
        <w:rPr>
          <w:rFonts w:ascii="Garamond" w:hAnsi="Garamond"/>
          <w:color w:val="1F4E79" w:themeColor="accent1" w:themeShade="80"/>
        </w:rPr>
      </w:pPr>
      <w:r>
        <w:rPr>
          <w:noProof/>
        </w:rPr>
        <mc:AlternateContent>
          <mc:Choice Requires="wpg">
            <w:drawing>
              <wp:anchor distT="0" distB="0" distL="114300" distR="114300" simplePos="0" relativeHeight="251658240" behindDoc="1" locked="0" layoutInCell="1" allowOverlap="1" wp14:anchorId="37417238" wp14:editId="64C7AA47">
                <wp:simplePos x="0" y="0"/>
                <wp:positionH relativeFrom="column">
                  <wp:posOffset>0</wp:posOffset>
                </wp:positionH>
                <wp:positionV relativeFrom="paragraph">
                  <wp:posOffset>0</wp:posOffset>
                </wp:positionV>
                <wp:extent cx="967740" cy="715645"/>
                <wp:effectExtent l="0" t="0" r="0" b="8255"/>
                <wp:wrapNone/>
                <wp:docPr id="262" name="Group 262"/>
                <wp:cNvGraphicFramePr/>
                <a:graphic xmlns:a="http://schemas.openxmlformats.org/drawingml/2006/main">
                  <a:graphicData uri="http://schemas.microsoft.com/office/word/2010/wordprocessingGroup">
                    <wpg:wgp>
                      <wpg:cNvGrpSpPr/>
                      <wpg:grpSpPr>
                        <a:xfrm>
                          <a:off x="0" y="0"/>
                          <a:ext cx="967740" cy="715645"/>
                          <a:chOff x="0" y="0"/>
                          <a:chExt cx="968235" cy="716074"/>
                        </a:xfrm>
                      </wpg:grpSpPr>
                      <wps:wsp>
                        <wps:cNvPr id="7" name="Shape 7"/>
                        <wps:cNvSpPr/>
                        <wps:spPr>
                          <a:xfrm>
                            <a:off x="113760" y="32675"/>
                            <a:ext cx="658787" cy="653876"/>
                          </a:xfrm>
                          <a:custGeom>
                            <a:avLst/>
                            <a:gdLst/>
                            <a:ahLst/>
                            <a:cxnLst/>
                            <a:rect l="0" t="0" r="0" b="0"/>
                            <a:pathLst>
                              <a:path w="658787" h="653876">
                                <a:moveTo>
                                  <a:pt x="358506" y="319"/>
                                </a:moveTo>
                                <a:cubicBezTo>
                                  <a:pt x="381295" y="0"/>
                                  <a:pt x="404498" y="1852"/>
                                  <a:pt x="427850" y="6049"/>
                                </a:cubicBezTo>
                                <a:cubicBezTo>
                                  <a:pt x="526758" y="23829"/>
                                  <a:pt x="608482" y="80141"/>
                                  <a:pt x="658787" y="155503"/>
                                </a:cubicBezTo>
                                <a:cubicBezTo>
                                  <a:pt x="612242" y="114165"/>
                                  <a:pt x="552412" y="84116"/>
                                  <a:pt x="484340" y="71861"/>
                                </a:cubicBezTo>
                                <a:cubicBezTo>
                                  <a:pt x="304292" y="39501"/>
                                  <a:pt x="134861" y="143870"/>
                                  <a:pt x="105905" y="304956"/>
                                </a:cubicBezTo>
                                <a:cubicBezTo>
                                  <a:pt x="77305" y="464036"/>
                                  <a:pt x="196456" y="618888"/>
                                  <a:pt x="372847" y="653876"/>
                                </a:cubicBezTo>
                                <a:cubicBezTo>
                                  <a:pt x="352920" y="653660"/>
                                  <a:pt x="332727" y="651895"/>
                                  <a:pt x="312407" y="648237"/>
                                </a:cubicBezTo>
                                <a:cubicBezTo>
                                  <a:pt x="125603" y="614659"/>
                                  <a:pt x="0" y="443679"/>
                                  <a:pt x="31877" y="266348"/>
                                </a:cubicBezTo>
                                <a:cubicBezTo>
                                  <a:pt x="59769" y="111163"/>
                                  <a:pt x="198985" y="2551"/>
                                  <a:pt x="358506" y="319"/>
                                </a:cubicBezTo>
                                <a:close/>
                              </a:path>
                            </a:pathLst>
                          </a:custGeom>
                          <a:ln w="0" cap="flat">
                            <a:miter lim="127000"/>
                          </a:ln>
                        </wps:spPr>
                        <wps:style>
                          <a:lnRef idx="0">
                            <a:srgbClr val="000000">
                              <a:alpha val="0"/>
                            </a:srgbClr>
                          </a:lnRef>
                          <a:fillRef idx="1">
                            <a:srgbClr val="993027"/>
                          </a:fillRef>
                          <a:effectRef idx="0">
                            <a:scrgbClr r="0" g="0" b="0"/>
                          </a:effectRef>
                          <a:fontRef idx="none"/>
                        </wps:style>
                        <wps:bodyPr/>
                      </wps:wsp>
                      <wps:wsp>
                        <wps:cNvPr id="8" name="Shape 8"/>
                        <wps:cNvSpPr/>
                        <wps:spPr>
                          <a:xfrm>
                            <a:off x="0" y="0"/>
                            <a:ext cx="968235" cy="716074"/>
                          </a:xfrm>
                          <a:custGeom>
                            <a:avLst/>
                            <a:gdLst/>
                            <a:ahLst/>
                            <a:cxnLst/>
                            <a:rect l="0" t="0" r="0" b="0"/>
                            <a:pathLst>
                              <a:path w="968235" h="716074">
                                <a:moveTo>
                                  <a:pt x="865641" y="32"/>
                                </a:moveTo>
                                <a:cubicBezTo>
                                  <a:pt x="890823" y="0"/>
                                  <a:pt x="909341" y="6397"/>
                                  <a:pt x="919518" y="19913"/>
                                </a:cubicBezTo>
                                <a:cubicBezTo>
                                  <a:pt x="968235" y="84632"/>
                                  <a:pt x="807301" y="287985"/>
                                  <a:pt x="560057" y="474091"/>
                                </a:cubicBezTo>
                                <a:cubicBezTo>
                                  <a:pt x="374625" y="613689"/>
                                  <a:pt x="193307" y="703939"/>
                                  <a:pt x="93685" y="713040"/>
                                </a:cubicBezTo>
                                <a:cubicBezTo>
                                  <a:pt x="60477" y="716074"/>
                                  <a:pt x="36347" y="710092"/>
                                  <a:pt x="24168" y="693915"/>
                                </a:cubicBezTo>
                                <a:cubicBezTo>
                                  <a:pt x="0" y="661809"/>
                                  <a:pt x="27445" y="595592"/>
                                  <a:pt x="91389" y="514311"/>
                                </a:cubicBezTo>
                                <a:cubicBezTo>
                                  <a:pt x="51499" y="572223"/>
                                  <a:pt x="36601" y="618566"/>
                                  <a:pt x="54940" y="642937"/>
                                </a:cubicBezTo>
                                <a:cubicBezTo>
                                  <a:pt x="98501" y="700811"/>
                                  <a:pt x="313093" y="612800"/>
                                  <a:pt x="534213" y="446329"/>
                                </a:cubicBezTo>
                                <a:cubicBezTo>
                                  <a:pt x="755345" y="279882"/>
                                  <a:pt x="899274" y="98018"/>
                                  <a:pt x="855713" y="40144"/>
                                </a:cubicBezTo>
                                <a:cubicBezTo>
                                  <a:pt x="834720" y="12242"/>
                                  <a:pt x="773989" y="18249"/>
                                  <a:pt x="691960" y="50571"/>
                                </a:cubicBezTo>
                                <a:cubicBezTo>
                                  <a:pt x="763191" y="17995"/>
                                  <a:pt x="823671" y="84"/>
                                  <a:pt x="865641" y="32"/>
                                </a:cubicBezTo>
                                <a:close/>
                              </a:path>
                            </a:pathLst>
                          </a:custGeom>
                          <a:ln w="0" cap="flat">
                            <a:miter lim="127000"/>
                          </a:ln>
                        </wps:spPr>
                        <wps:style>
                          <a:lnRef idx="0">
                            <a:srgbClr val="000000">
                              <a:alpha val="0"/>
                            </a:srgbClr>
                          </a:lnRef>
                          <a:fillRef idx="1">
                            <a:srgbClr val="352C4F"/>
                          </a:fillRef>
                          <a:effectRef idx="0">
                            <a:scrgbClr r="0" g="0" b="0"/>
                          </a:effectRef>
                          <a:fontRef idx="none"/>
                        </wps:style>
                        <wps:bodyPr/>
                      </wps:wsp>
                    </wpg:wgp>
                  </a:graphicData>
                </a:graphic>
              </wp:anchor>
            </w:drawing>
          </mc:Choice>
          <mc:Fallback>
            <w:pict>
              <v:group w14:anchorId="046411C4" id="Group 262" o:spid="_x0000_s1026" style="position:absolute;margin-left:0;margin-top:0;width:76.2pt;height:56.35pt;z-index:-251658240" coordsize="9682,7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">
                <v:shape id="Shape 7" o:spid="_x0000_s1027" style="position:absolute;left:1137;top:326;width:6588;height:6539;visibility:visible;mso-wrap-style:square;v-text-anchor:top" coordsize="658787,653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amfcIA&#10;AADaAAAADwAAAGRycy9kb3ducmV2LnhtbESPUWvCQBCE3wv9D8cW+lYviqYSPaUUBSn60OgPWHNr&#10;EszthdxW47/vCYKPw8x8w8yXvWvUhbpQezYwHCSgiAtvay4NHPbrjymoIMgWG89k4EYBlovXlzlm&#10;1l/5ly65lCpCOGRooBJpM61DUZHDMPAtcfROvnMoUXalth1eI9w1epQkqXZYc1yosKXviopz/ucM&#10;jNOj3Ymcf05+dRuvdbLdTNLCmPe3/msGSqiXZ/jR3lgDn3C/Em+AXv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hqZ9wgAAANoAAAAPAAAAAAAAAAAAAAAAAJgCAABkcnMvZG93&#10;bnJldi54bWxQSwUGAAAAAAQABAD1AAAAhwMAAAAA&#10;" path="m358506,319c381295,,404498,1852,427850,6049v98908,17780,180632,74092,230937,149454c612242,114165,552412,84116,484340,71861,304292,39501,134861,143870,105905,304956,77305,464036,196456,618888,372847,653876v-19927,-216,-40120,-1981,-60440,-5639c125603,614659,,443679,31877,266348,59769,111163,198985,2551,358506,319xe" fillcolor="#993027" stroked="f" strokeweight="0">
                  <v:stroke miterlimit="83231f" joinstyle="miter"/>
                  <v:path arrowok="t" textboxrect="0,0,658787,653876"/>
                </v:shape>
                <v:shape id="Shape 8" o:spid="_x0000_s1028" style="position:absolute;width:9682;height:7160;visibility:visible;mso-wrap-style:square;v-text-anchor:top" coordsize="968235,7160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9Kr78A&#10;AADaAAAADwAAAGRycy9kb3ducmV2LnhtbERPPWvDMBDdC/kP4gLZajmFmuJGCSGQ0qFD6nbIeLYu&#10;toh1MpZqOf8+GgIdH+97s5ttLyYavXGsYJ3lIIgbpw23Cn5/js9vIHxA1tg7JgU38rDbLp42WGoX&#10;+ZumKrQihbAvUUEXwlBK6ZuOLPrMDcSJu7jRYkhwbKUeMaZw28uXPC+kRcOpocOBDh011+rPKviK&#10;/DGbaQpU1K/xdDNnH+uzUqvlvH8HEWgO/+KH+1MrSFvTlXQD5PYO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Pf0qvvwAAANoAAAAPAAAAAAAAAAAAAAAAAJgCAABkcnMvZG93bnJl&#10;di54bWxQSwUGAAAAAAQABAD1AAAAhAMAAAAA&#10;" path="m865641,32c890823,,909341,6397,919518,19913,968235,84632,807301,287985,560057,474091,374625,613689,193307,703939,93685,713040,60477,716074,36347,710092,24168,693915,,661809,27445,595592,91389,514311,51499,572223,36601,618566,54940,642937,98501,700811,313093,612800,534213,446329,755345,279882,899274,98018,855713,40144,834720,12242,773989,18249,691960,50571,763191,17995,823671,84,865641,32xe" fillcolor="#352c4f" stroked="f" strokeweight="0">
                  <v:stroke miterlimit="83231f" joinstyle="miter"/>
                  <v:path arrowok="t" textboxrect="0,0,968235,716074"/>
                </v:shape>
              </v:group>
            </w:pict>
          </mc:Fallback>
        </mc:AlternateContent>
      </w:r>
      <w:r>
        <w:rPr>
          <w:rFonts w:ascii="Garamond" w:hAnsi="Garamond"/>
          <w:color w:val="1F4E79" w:themeColor="accent1" w:themeShade="80"/>
          <w:sz w:val="72"/>
          <w:szCs w:val="72"/>
        </w:rPr>
        <w:t xml:space="preserve">        </w:t>
      </w:r>
    </w:p>
    <w:p w14:paraId="6CD4E5C1" w14:textId="77777777" w:rsidR="001D37D8" w:rsidRPr="003603A4" w:rsidRDefault="00673B0E" w:rsidP="0030005C">
      <w:pPr>
        <w:spacing w:after="0"/>
        <w:jc w:val="center"/>
        <w:rPr>
          <w:rFonts w:ascii="Garamond" w:hAnsi="Garamond"/>
          <w:color w:val="0D0694"/>
          <w:sz w:val="72"/>
          <w:szCs w:val="72"/>
          <w14:textFill>
            <w14:solidFill>
              <w14:srgbClr w14:val="0D0694">
                <w14:lumMod w14:val="50000"/>
              </w14:srgbClr>
            </w14:solidFill>
          </w14:textFill>
        </w:rPr>
      </w:pPr>
      <w:r w:rsidRPr="003603A4">
        <w:rPr>
          <w:rFonts w:ascii="Garamond" w:hAnsi="Garamond"/>
          <w:color w:val="0D0694"/>
          <w:sz w:val="72"/>
          <w:szCs w:val="72"/>
        </w:rPr>
        <w:t>Standard Transfer Company</w:t>
      </w:r>
    </w:p>
    <w:p w14:paraId="3E7F11DA" w14:textId="77777777" w:rsidR="00673B0E" w:rsidRDefault="00673B0E" w:rsidP="0030005C">
      <w:pPr>
        <w:spacing w:after="0"/>
        <w:jc w:val="center"/>
        <w:rPr>
          <w:rFonts w:ascii="Garamond" w:hAnsi="Garamond"/>
          <w:color w:val="0D0694"/>
          <w14:textFill>
            <w14:solidFill>
              <w14:srgbClr w14:val="0D0694">
                <w14:lumMod w14:val="50000"/>
              </w14:srgbClr>
            </w14:solidFill>
          </w14:textFill>
        </w:rPr>
      </w:pPr>
      <w:r w:rsidRPr="003603A4">
        <w:rPr>
          <w:rFonts w:ascii="Garamond" w:hAnsi="Garamond"/>
          <w:color w:val="0D0694"/>
          <w14:textFill>
            <w14:solidFill>
              <w14:srgbClr w14:val="0D0694">
                <w14:lumMod w14:val="50000"/>
              </w14:srgbClr>
            </w14:solidFill>
          </w14:textFill>
        </w:rPr>
        <w:t>440 East 400 South, Suite 200, Salt Lake City, UT 84111</w:t>
      </w:r>
      <w:r w:rsidR="0030005C">
        <w:rPr>
          <w:rFonts w:ascii="Garamond" w:hAnsi="Garamond"/>
          <w:color w:val="0D0694"/>
          <w14:textFill>
            <w14:solidFill>
              <w14:srgbClr w14:val="0D0694">
                <w14:lumMod w14:val="50000"/>
              </w14:srgbClr>
            </w14:solidFill>
          </w14:textFill>
        </w:rPr>
        <w:t xml:space="preserve"> </w:t>
      </w:r>
      <w:r w:rsidRPr="003603A4">
        <w:rPr>
          <w:rFonts w:ascii="Garamond" w:hAnsi="Garamond"/>
          <w:color w:val="0D0694"/>
          <w14:textFill>
            <w14:solidFill>
              <w14:srgbClr w14:val="0D0694">
                <w14:lumMod w14:val="50000"/>
              </w14:srgbClr>
            </w14:solidFill>
          </w14:textFill>
        </w:rPr>
        <w:t>Phone: (801) 571-8844 Fax: (801) 328-4058</w:t>
      </w:r>
    </w:p>
    <w:p w14:paraId="40ECC6FE" w14:textId="42496DFC" w:rsidR="0043353C" w:rsidRDefault="00246684" w:rsidP="008E7CD7">
      <w:pPr>
        <w:spacing w:after="0"/>
        <w:jc w:val="center"/>
        <w:rPr>
          <w:rFonts w:ascii="Garamond" w:hAnsi="Garamond"/>
          <w:color w:val="0D0694"/>
          <w14:textFill>
            <w14:solidFill>
              <w14:srgbClr w14:val="0D0694">
                <w14:lumMod w14:val="50000"/>
              </w14:srgbClr>
            </w14:solidFill>
          </w14:textFill>
        </w:rPr>
      </w:pPr>
      <w:r>
        <w:rPr>
          <w:rFonts w:ascii="Garamond" w:hAnsi="Garamond"/>
          <w:color w:val="0D0694"/>
          <w14:textFill>
            <w14:solidFill>
              <w14:srgbClr w14:val="0D0694">
                <w14:lumMod w14:val="50000"/>
              </w14:srgbClr>
            </w14:solidFill>
          </w14:textFill>
        </w:rPr>
        <w:t xml:space="preserve">Standardtransferco.com </w:t>
      </w:r>
    </w:p>
    <w:p w14:paraId="3743FAF1" w14:textId="77777777" w:rsidR="004D082F" w:rsidRPr="0043353C" w:rsidRDefault="004D082F" w:rsidP="004D082F">
      <w:pPr>
        <w:rPr>
          <w:sz w:val="24"/>
          <w:szCs w:val="24"/>
          <w:u w:val="single"/>
        </w:rPr>
      </w:pPr>
    </w:p>
    <w:p w14:paraId="45FEBDC7" w14:textId="4ED1A63F" w:rsidR="000605FD" w:rsidRDefault="000605FD" w:rsidP="00F20793">
      <w:pPr>
        <w:pStyle w:val="Heading1"/>
        <w:jc w:val="center"/>
        <w:rPr>
          <w:b/>
          <w:i/>
          <w:i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20793">
        <w:rPr>
          <w:b/>
          <w:i/>
          <w:i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Restriction Removal Instructions</w:t>
      </w:r>
    </w:p>
    <w:p w14:paraId="606B3528" w14:textId="77777777" w:rsidR="008E7CD7" w:rsidRPr="008E7CD7" w:rsidRDefault="008E7CD7" w:rsidP="008E7CD7"/>
    <w:p w14:paraId="1C204CB4" w14:textId="7585BE42" w:rsidR="008E7CD7" w:rsidRPr="00F20793" w:rsidRDefault="008E7CD7" w:rsidP="008E7CD7">
      <w:pPr>
        <w:spacing w:after="220"/>
        <w:rPr>
          <w:sz w:val="24"/>
          <w:szCs w:val="24"/>
        </w:rPr>
      </w:pPr>
      <w:r w:rsidRPr="00F20793">
        <w:rPr>
          <w:sz w:val="24"/>
          <w:szCs w:val="24"/>
        </w:rPr>
        <w:t xml:space="preserve">The following documentation </w:t>
      </w:r>
      <w:r>
        <w:rPr>
          <w:sz w:val="24"/>
          <w:szCs w:val="24"/>
        </w:rPr>
        <w:t>is</w:t>
      </w:r>
      <w:r w:rsidRPr="002671B7">
        <w:rPr>
          <w:sz w:val="24"/>
          <w:szCs w:val="24"/>
        </w:rPr>
        <w:t xml:space="preserve"> </w:t>
      </w:r>
      <w:r w:rsidRPr="002671B7">
        <w:rPr>
          <w:b/>
          <w:bCs/>
          <w:i/>
          <w:iCs/>
          <w:sz w:val="24"/>
          <w:szCs w:val="24"/>
          <w:u w:val="single"/>
        </w:rPr>
        <w:t>REQUIRED</w:t>
      </w:r>
      <w:r w:rsidRPr="002671B7">
        <w:rPr>
          <w:b/>
          <w:bCs/>
          <w:sz w:val="24"/>
          <w:szCs w:val="24"/>
        </w:rPr>
        <w:t xml:space="preserve"> </w:t>
      </w:r>
      <w:r w:rsidRPr="00F20793">
        <w:rPr>
          <w:sz w:val="24"/>
          <w:szCs w:val="24"/>
        </w:rPr>
        <w:t xml:space="preserve">to remove restrictions: </w:t>
      </w:r>
    </w:p>
    <w:p w14:paraId="1E2B58AE" w14:textId="77777777" w:rsidR="008E7CD7" w:rsidRPr="00F20793" w:rsidRDefault="008E7CD7" w:rsidP="008E7CD7">
      <w:pPr>
        <w:numPr>
          <w:ilvl w:val="1"/>
          <w:numId w:val="2"/>
        </w:numPr>
        <w:spacing w:after="73" w:line="258" w:lineRule="auto"/>
        <w:rPr>
          <w:sz w:val="24"/>
          <w:szCs w:val="24"/>
        </w:rPr>
      </w:pPr>
      <w:r w:rsidRPr="00F20793">
        <w:rPr>
          <w:sz w:val="24"/>
          <w:szCs w:val="24"/>
        </w:rPr>
        <w:t xml:space="preserve">Seller’s </w:t>
      </w:r>
      <w:r>
        <w:rPr>
          <w:sz w:val="24"/>
          <w:szCs w:val="24"/>
        </w:rPr>
        <w:t>R</w:t>
      </w:r>
      <w:r w:rsidRPr="00F20793">
        <w:rPr>
          <w:sz w:val="24"/>
          <w:szCs w:val="24"/>
        </w:rPr>
        <w:t xml:space="preserve">epresentation </w:t>
      </w:r>
      <w:r>
        <w:rPr>
          <w:sz w:val="24"/>
          <w:szCs w:val="24"/>
        </w:rPr>
        <w:t>L</w:t>
      </w:r>
      <w:r w:rsidRPr="00F20793">
        <w:rPr>
          <w:sz w:val="24"/>
          <w:szCs w:val="24"/>
        </w:rPr>
        <w:t>etter (</w:t>
      </w:r>
      <w:r>
        <w:rPr>
          <w:sz w:val="24"/>
          <w:szCs w:val="24"/>
        </w:rPr>
        <w:t>Q</w:t>
      </w:r>
      <w:r w:rsidRPr="00F20793">
        <w:rPr>
          <w:sz w:val="24"/>
          <w:szCs w:val="24"/>
        </w:rPr>
        <w:t>uestionnaire)</w:t>
      </w:r>
    </w:p>
    <w:p w14:paraId="7FF5C307" w14:textId="77777777" w:rsidR="008E7CD7" w:rsidRPr="00F20793" w:rsidRDefault="008E7CD7" w:rsidP="008E7CD7">
      <w:pPr>
        <w:numPr>
          <w:ilvl w:val="1"/>
          <w:numId w:val="2"/>
        </w:numPr>
        <w:spacing w:after="73" w:line="258" w:lineRule="auto"/>
        <w:rPr>
          <w:sz w:val="24"/>
          <w:szCs w:val="24"/>
        </w:rPr>
      </w:pPr>
      <w:r w:rsidRPr="00F20793">
        <w:rPr>
          <w:sz w:val="24"/>
          <w:szCs w:val="24"/>
        </w:rPr>
        <w:t xml:space="preserve">Broker’s </w:t>
      </w:r>
      <w:r>
        <w:rPr>
          <w:sz w:val="24"/>
          <w:szCs w:val="24"/>
        </w:rPr>
        <w:t>R</w:t>
      </w:r>
      <w:r w:rsidRPr="00F20793">
        <w:rPr>
          <w:sz w:val="24"/>
          <w:szCs w:val="24"/>
        </w:rPr>
        <w:t xml:space="preserve">epresentation </w:t>
      </w:r>
      <w:r>
        <w:rPr>
          <w:sz w:val="24"/>
          <w:szCs w:val="24"/>
        </w:rPr>
        <w:t>L</w:t>
      </w:r>
      <w:r w:rsidRPr="00F20793">
        <w:rPr>
          <w:sz w:val="24"/>
          <w:szCs w:val="24"/>
        </w:rPr>
        <w:t>etter (for the sale of shares)</w:t>
      </w:r>
    </w:p>
    <w:p w14:paraId="1247F01D" w14:textId="77777777" w:rsidR="008E7CD7" w:rsidRDefault="008E7CD7" w:rsidP="008E7CD7">
      <w:pPr>
        <w:numPr>
          <w:ilvl w:val="1"/>
          <w:numId w:val="2"/>
        </w:numPr>
        <w:spacing w:after="73" w:line="258" w:lineRule="auto"/>
        <w:rPr>
          <w:sz w:val="24"/>
          <w:szCs w:val="24"/>
        </w:rPr>
      </w:pPr>
      <w:r w:rsidRPr="00F20793">
        <w:rPr>
          <w:sz w:val="24"/>
          <w:szCs w:val="24"/>
        </w:rPr>
        <w:t xml:space="preserve">A </w:t>
      </w:r>
      <w:r>
        <w:rPr>
          <w:sz w:val="24"/>
          <w:szCs w:val="24"/>
        </w:rPr>
        <w:t>L</w:t>
      </w:r>
      <w:r w:rsidRPr="00F20793">
        <w:rPr>
          <w:sz w:val="24"/>
          <w:szCs w:val="24"/>
        </w:rPr>
        <w:t xml:space="preserve">egal </w:t>
      </w:r>
      <w:r>
        <w:rPr>
          <w:sz w:val="24"/>
          <w:szCs w:val="24"/>
        </w:rPr>
        <w:t>O</w:t>
      </w:r>
      <w:r w:rsidRPr="00F20793">
        <w:rPr>
          <w:sz w:val="24"/>
          <w:szCs w:val="24"/>
        </w:rPr>
        <w:t>pinion from a qualified securities attorney</w:t>
      </w:r>
    </w:p>
    <w:p w14:paraId="6CD332B8" w14:textId="77777777" w:rsidR="008E7CD7" w:rsidRDefault="008E7CD7" w:rsidP="008E7CD7">
      <w:pPr>
        <w:numPr>
          <w:ilvl w:val="1"/>
          <w:numId w:val="2"/>
        </w:numPr>
        <w:spacing w:after="73" w:line="258" w:lineRule="auto"/>
        <w:rPr>
          <w:sz w:val="24"/>
          <w:szCs w:val="24"/>
        </w:rPr>
      </w:pPr>
      <w:r>
        <w:rPr>
          <w:sz w:val="24"/>
          <w:szCs w:val="24"/>
        </w:rPr>
        <w:t>Copy of unexpired Government Issued Identification(Driver’s License, Passport, etc.)</w:t>
      </w:r>
    </w:p>
    <w:p w14:paraId="7D4DA0CB" w14:textId="77777777" w:rsidR="008E7CD7" w:rsidRPr="00891F43" w:rsidRDefault="008E7CD7" w:rsidP="008E7CD7">
      <w:pPr>
        <w:numPr>
          <w:ilvl w:val="1"/>
          <w:numId w:val="2"/>
        </w:numPr>
        <w:spacing w:after="73" w:line="258" w:lineRule="auto"/>
        <w:rPr>
          <w:sz w:val="24"/>
          <w:szCs w:val="24"/>
        </w:rPr>
      </w:pPr>
      <w:r>
        <w:rPr>
          <w:sz w:val="24"/>
          <w:szCs w:val="24"/>
        </w:rPr>
        <w:t>Address/Phone Number/Email</w:t>
      </w:r>
    </w:p>
    <w:p w14:paraId="261E97F0" w14:textId="77777777" w:rsidR="008E7CD7" w:rsidRDefault="008E7CD7" w:rsidP="008E7CD7">
      <w:pPr>
        <w:numPr>
          <w:ilvl w:val="1"/>
          <w:numId w:val="2"/>
        </w:numPr>
        <w:spacing w:after="73" w:line="258" w:lineRule="auto"/>
        <w:rPr>
          <w:sz w:val="24"/>
          <w:szCs w:val="24"/>
        </w:rPr>
      </w:pPr>
      <w:r>
        <w:rPr>
          <w:sz w:val="24"/>
          <w:szCs w:val="24"/>
        </w:rPr>
        <w:t>Tax ID Number/SSN/W8</w:t>
      </w:r>
    </w:p>
    <w:p w14:paraId="60506DE1" w14:textId="77777777" w:rsidR="008E7CD7" w:rsidRDefault="008E7CD7" w:rsidP="008E7CD7">
      <w:pPr>
        <w:pStyle w:val="ListParagraph"/>
        <w:spacing w:after="159"/>
        <w:ind w:left="1065"/>
        <w:jc w:val="left"/>
        <w:rPr>
          <w:i/>
          <w:iCs/>
          <w:sz w:val="24"/>
          <w:szCs w:val="24"/>
        </w:rPr>
      </w:pPr>
    </w:p>
    <w:p w14:paraId="46959198" w14:textId="5875D3AC" w:rsidR="008E7CD7" w:rsidRPr="008E7CD7" w:rsidRDefault="008E7CD7" w:rsidP="00D15C29">
      <w:pPr>
        <w:pStyle w:val="ListParagraph"/>
        <w:spacing w:after="159"/>
        <w:ind w:left="1065"/>
        <w:jc w:val="left"/>
        <w:rPr>
          <w:i/>
          <w:iCs/>
          <w:sz w:val="24"/>
          <w:szCs w:val="24"/>
        </w:rPr>
      </w:pPr>
      <w:r w:rsidRPr="008E7CD7">
        <w:rPr>
          <w:i/>
          <w:iCs/>
          <w:sz w:val="24"/>
          <w:szCs w:val="24"/>
        </w:rPr>
        <w:t>*It is the responsibility of the shareholder to obtain a legal opinion.  Legal opinions are only valid for up to 90 days. Additional documentation may be required.</w:t>
      </w:r>
    </w:p>
    <w:p w14:paraId="0E082CF4" w14:textId="2ADEBF27" w:rsidR="0043353C" w:rsidRDefault="000605FD" w:rsidP="00F20793">
      <w:pPr>
        <w:spacing w:after="157"/>
        <w:ind w:left="200"/>
        <w:jc w:val="center"/>
        <w:rPr>
          <w:b/>
          <w:i/>
          <w:iCs/>
          <w:sz w:val="24"/>
          <w:szCs w:val="24"/>
          <w:u w:val="single"/>
        </w:rPr>
      </w:pPr>
      <w:r w:rsidRPr="00267DD4">
        <w:rPr>
          <w:b/>
          <w:i/>
          <w:iCs/>
          <w:sz w:val="24"/>
          <w:szCs w:val="24"/>
          <w:u w:val="single"/>
        </w:rPr>
        <w:t xml:space="preserve">All Legal opinions are subject to </w:t>
      </w:r>
      <w:r w:rsidR="0043353C" w:rsidRPr="00267DD4">
        <w:rPr>
          <w:b/>
          <w:i/>
          <w:iCs/>
          <w:sz w:val="24"/>
          <w:szCs w:val="24"/>
          <w:u w:val="single"/>
        </w:rPr>
        <w:t xml:space="preserve">a </w:t>
      </w:r>
      <w:r w:rsidRPr="00267DD4">
        <w:rPr>
          <w:b/>
          <w:i/>
          <w:iCs/>
          <w:sz w:val="24"/>
          <w:szCs w:val="24"/>
          <w:u w:val="single"/>
        </w:rPr>
        <w:t xml:space="preserve">compliance review.  </w:t>
      </w:r>
    </w:p>
    <w:p w14:paraId="3D9EA4D2" w14:textId="77777777" w:rsidR="000E4DA7" w:rsidRPr="00267DD4" w:rsidRDefault="000E4DA7" w:rsidP="00F20793">
      <w:pPr>
        <w:spacing w:after="157"/>
        <w:ind w:left="200"/>
        <w:jc w:val="center"/>
        <w:rPr>
          <w:b/>
          <w:i/>
          <w:iCs/>
          <w:sz w:val="24"/>
          <w:szCs w:val="24"/>
          <w:u w:val="single"/>
        </w:rPr>
      </w:pPr>
    </w:p>
    <w:p w14:paraId="26B6BB20" w14:textId="76763DF1" w:rsidR="0043353C" w:rsidRPr="000E4DA7" w:rsidRDefault="000E4DA7" w:rsidP="000E4DA7">
      <w:pPr>
        <w:spacing w:after="0"/>
        <w:jc w:val="center"/>
        <w:rPr>
          <w:b/>
          <w:bCs/>
          <w:i/>
          <w:iCs/>
          <w:sz w:val="32"/>
          <w:szCs w:val="32"/>
        </w:rPr>
      </w:pPr>
      <w:r w:rsidRPr="000E4DA7">
        <w:rPr>
          <w:b/>
          <w:bCs/>
          <w:i/>
          <w:iCs/>
          <w:sz w:val="32"/>
          <w:szCs w:val="32"/>
        </w:rPr>
        <w:t>**Contact our office for pricing.**</w:t>
      </w:r>
    </w:p>
    <w:p w14:paraId="13657785" w14:textId="77777777" w:rsidR="000E4DA7" w:rsidRPr="000E4DA7" w:rsidRDefault="000E4DA7" w:rsidP="000E4DA7">
      <w:pPr>
        <w:spacing w:after="0"/>
        <w:jc w:val="center"/>
        <w:rPr>
          <w:b/>
          <w:bCs/>
          <w:i/>
          <w:iCs/>
          <w:sz w:val="32"/>
          <w:szCs w:val="32"/>
          <w:u w:val="single"/>
        </w:rPr>
      </w:pPr>
    </w:p>
    <w:p w14:paraId="24CC4125" w14:textId="426BA49E" w:rsidR="008E7CD7" w:rsidRDefault="008E7CD7" w:rsidP="008E7CD7">
      <w:pPr>
        <w:spacing w:after="159"/>
        <w:jc w:val="center"/>
        <w:rPr>
          <w:b/>
          <w:bCs/>
          <w:sz w:val="24"/>
          <w:szCs w:val="24"/>
        </w:rPr>
      </w:pPr>
      <w:r w:rsidRPr="00267DD4">
        <w:rPr>
          <w:b/>
          <w:bCs/>
          <w:sz w:val="24"/>
          <w:szCs w:val="24"/>
        </w:rPr>
        <w:t>Please include clear instructions for the issuance and delivery of certificates. To change the registration of the shares or to deposit the shares via DWAC, please endorse the back of the certificate and obtain a medallion signature guarantee (available at a bank or brokerage firm)</w:t>
      </w:r>
      <w:r w:rsidR="00F267D6">
        <w:rPr>
          <w:b/>
          <w:bCs/>
          <w:sz w:val="24"/>
          <w:szCs w:val="24"/>
        </w:rPr>
        <w:t>, and submit completed Transfer or DWAC form.</w:t>
      </w:r>
    </w:p>
    <w:p w14:paraId="746A90C9" w14:textId="761944A7" w:rsidR="00537A17" w:rsidRPr="008E7CD7" w:rsidRDefault="008E7CD7" w:rsidP="00F267D6">
      <w:pPr>
        <w:spacing w:after="224"/>
        <w:ind w:left="60"/>
        <w:jc w:val="center"/>
        <w:rPr>
          <w:sz w:val="32"/>
        </w:rPr>
      </w:pPr>
      <w:r>
        <w:rPr>
          <w:sz w:val="32"/>
        </w:rPr>
        <w:t>Please feel free to contact us for additional information. Thank you</w:t>
      </w:r>
    </w:p>
    <w:sectPr w:rsidR="00537A17" w:rsidRPr="008E7CD7" w:rsidSect="000605FD">
      <w:pgSz w:w="12240" w:h="15840"/>
      <w:pgMar w:top="720" w:right="864" w:bottom="720"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D26A7C"/>
    <w:multiLevelType w:val="hybridMultilevel"/>
    <w:tmpl w:val="E57EBBD4"/>
    <w:lvl w:ilvl="0" w:tplc="6A0A7FCA">
      <w:start w:val="1"/>
      <w:numFmt w:val="upperLetter"/>
      <w:lvlText w:val="%1."/>
      <w:lvlJc w:val="left"/>
      <w:pPr>
        <w:ind w:left="1065"/>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1" w:tplc="0409000F">
      <w:start w:val="1"/>
      <w:numFmt w:val="decimal"/>
      <w:lvlText w:val="%2."/>
      <w:lvlJc w:val="left"/>
      <w:pPr>
        <w:ind w:left="2145" w:hanging="360"/>
      </w:pPr>
    </w:lvl>
    <w:lvl w:ilvl="2" w:tplc="4030D4C6">
      <w:start w:val="1"/>
      <w:numFmt w:val="lowerRoman"/>
      <w:lvlText w:val="%3"/>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53067E96">
      <w:start w:val="1"/>
      <w:numFmt w:val="decimal"/>
      <w:lvlText w:val="%4"/>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D032B2DC">
      <w:start w:val="1"/>
      <w:numFmt w:val="lowerLetter"/>
      <w:lvlText w:val="%5"/>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5942C69A">
      <w:start w:val="1"/>
      <w:numFmt w:val="lowerRoman"/>
      <w:lvlText w:val="%6"/>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832EFC62">
      <w:start w:val="1"/>
      <w:numFmt w:val="decimal"/>
      <w:lvlText w:val="%7"/>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E7B6D70E">
      <w:start w:val="1"/>
      <w:numFmt w:val="lowerLetter"/>
      <w:lvlText w:val="%8"/>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C552928A">
      <w:start w:val="1"/>
      <w:numFmt w:val="lowerRoman"/>
      <w:lvlText w:val="%9"/>
      <w:lvlJc w:val="left"/>
      <w:pPr>
        <w:ind w:left="68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73D3E0D"/>
    <w:multiLevelType w:val="hybridMultilevel"/>
    <w:tmpl w:val="58483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3808479">
    <w:abstractNumId w:val="1"/>
  </w:num>
  <w:num w:numId="2" w16cid:durableId="1374422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B0E"/>
    <w:rsid w:val="00006100"/>
    <w:rsid w:val="000605FD"/>
    <w:rsid w:val="000C4FC1"/>
    <w:rsid w:val="000E4DA7"/>
    <w:rsid w:val="001226EC"/>
    <w:rsid w:val="00176CC9"/>
    <w:rsid w:val="001A6051"/>
    <w:rsid w:val="001D37D8"/>
    <w:rsid w:val="001E4473"/>
    <w:rsid w:val="00246684"/>
    <w:rsid w:val="00265BDB"/>
    <w:rsid w:val="002671B7"/>
    <w:rsid w:val="00267DD4"/>
    <w:rsid w:val="0030005C"/>
    <w:rsid w:val="003603A4"/>
    <w:rsid w:val="0040443C"/>
    <w:rsid w:val="0043353C"/>
    <w:rsid w:val="004C6670"/>
    <w:rsid w:val="004D082F"/>
    <w:rsid w:val="004F1FAE"/>
    <w:rsid w:val="00537A17"/>
    <w:rsid w:val="005F3045"/>
    <w:rsid w:val="005F5B83"/>
    <w:rsid w:val="00673B0E"/>
    <w:rsid w:val="0076228E"/>
    <w:rsid w:val="0077228F"/>
    <w:rsid w:val="007A7E98"/>
    <w:rsid w:val="00846658"/>
    <w:rsid w:val="00857CA4"/>
    <w:rsid w:val="008E7CD7"/>
    <w:rsid w:val="00A2330E"/>
    <w:rsid w:val="00B012C7"/>
    <w:rsid w:val="00B80B62"/>
    <w:rsid w:val="00BF3904"/>
    <w:rsid w:val="00C04BC5"/>
    <w:rsid w:val="00CC462E"/>
    <w:rsid w:val="00CE1FDE"/>
    <w:rsid w:val="00D15C29"/>
    <w:rsid w:val="00DB0B8D"/>
    <w:rsid w:val="00DB3EE2"/>
    <w:rsid w:val="00DE31BE"/>
    <w:rsid w:val="00E240B3"/>
    <w:rsid w:val="00F20793"/>
    <w:rsid w:val="00F267D6"/>
    <w:rsid w:val="00F87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86E1B7"/>
  <w15:chartTrackingRefBased/>
  <w15:docId w15:val="{C24E3CEC-B5EB-46C3-BD65-E77F147BF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0605FD"/>
    <w:pPr>
      <w:keepNext/>
      <w:keepLines/>
      <w:spacing w:after="0"/>
      <w:outlineLvl w:val="0"/>
    </w:pPr>
    <w:rPr>
      <w:rFonts w:ascii="Bookman Old Style" w:eastAsia="Bookman Old Style" w:hAnsi="Bookman Old Style" w:cs="Bookman Old Style"/>
      <w:color w:val="1F4E79"/>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30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045"/>
    <w:rPr>
      <w:rFonts w:ascii="Segoe UI" w:hAnsi="Segoe UI" w:cs="Segoe UI"/>
      <w:sz w:val="18"/>
      <w:szCs w:val="18"/>
    </w:rPr>
  </w:style>
  <w:style w:type="character" w:styleId="Hyperlink">
    <w:name w:val="Hyperlink"/>
    <w:basedOn w:val="DefaultParagraphFont"/>
    <w:uiPriority w:val="99"/>
    <w:unhideWhenUsed/>
    <w:rsid w:val="00246684"/>
    <w:rPr>
      <w:color w:val="0563C1" w:themeColor="hyperlink"/>
      <w:u w:val="single"/>
    </w:rPr>
  </w:style>
  <w:style w:type="paragraph" w:styleId="ListParagraph">
    <w:name w:val="List Paragraph"/>
    <w:basedOn w:val="Normal"/>
    <w:uiPriority w:val="34"/>
    <w:qFormat/>
    <w:rsid w:val="00BF3904"/>
    <w:pPr>
      <w:ind w:left="720"/>
      <w:contextualSpacing/>
      <w:jc w:val="center"/>
    </w:pPr>
  </w:style>
  <w:style w:type="character" w:customStyle="1" w:styleId="Heading1Char">
    <w:name w:val="Heading 1 Char"/>
    <w:basedOn w:val="DefaultParagraphFont"/>
    <w:link w:val="Heading1"/>
    <w:uiPriority w:val="9"/>
    <w:rsid w:val="000605FD"/>
    <w:rPr>
      <w:rFonts w:ascii="Bookman Old Style" w:eastAsia="Bookman Old Style" w:hAnsi="Bookman Old Style" w:cs="Bookman Old Style"/>
      <w:color w:val="1F4E79"/>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72905">
      <w:bodyDiv w:val="1"/>
      <w:marLeft w:val="0"/>
      <w:marRight w:val="0"/>
      <w:marTop w:val="0"/>
      <w:marBottom w:val="0"/>
      <w:divBdr>
        <w:top w:val="none" w:sz="0" w:space="0" w:color="auto"/>
        <w:left w:val="none" w:sz="0" w:space="0" w:color="auto"/>
        <w:bottom w:val="none" w:sz="0" w:space="0" w:color="auto"/>
        <w:right w:val="none" w:sz="0" w:space="0" w:color="auto"/>
      </w:divBdr>
    </w:div>
    <w:div w:id="143858970">
      <w:bodyDiv w:val="1"/>
      <w:marLeft w:val="0"/>
      <w:marRight w:val="0"/>
      <w:marTop w:val="0"/>
      <w:marBottom w:val="0"/>
      <w:divBdr>
        <w:top w:val="none" w:sz="0" w:space="0" w:color="auto"/>
        <w:left w:val="none" w:sz="0" w:space="0" w:color="auto"/>
        <w:bottom w:val="none" w:sz="0" w:space="0" w:color="auto"/>
        <w:right w:val="none" w:sz="0" w:space="0" w:color="auto"/>
      </w:divBdr>
    </w:div>
    <w:div w:id="1916478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Standard Transfer</dc:creator>
  <cp:keywords/>
  <dc:description/>
  <cp:lastModifiedBy>Hanna Merrill</cp:lastModifiedBy>
  <cp:revision>3</cp:revision>
  <cp:lastPrinted>2026-06-22T21:14:00Z</cp:lastPrinted>
  <dcterms:created xsi:type="dcterms:W3CDTF">2026-06-23T13:45:00Z</dcterms:created>
  <dcterms:modified xsi:type="dcterms:W3CDTF">2026-06-23T13:46:00Z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cd3f4ae6ac6c71e7bce26977912543e24b690fb458fb22215e972d94c6a42283</vt:lpwstr>
  </property>
</Properties>
</file>